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80" w:rsidRDefault="00CD7B62">
      <w:pPr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</w:t>
      </w:r>
    </w:p>
    <w:p w:rsidR="00FE6080" w:rsidRDefault="00CD7B62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长春市公共数据资源授权运营机构综合评审标准</w:t>
      </w:r>
    </w:p>
    <w:tbl>
      <w:tblPr>
        <w:tblW w:w="5540" w:type="pct"/>
        <w:tblInd w:w="-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0"/>
        <w:gridCol w:w="1468"/>
        <w:gridCol w:w="868"/>
        <w:gridCol w:w="12049"/>
      </w:tblGrid>
      <w:tr w:rsidR="00FE6080">
        <w:trPr>
          <w:trHeight w:val="472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BFBFBF" w:themeFill="background1" w:themeFillShade="BF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黑体" w:eastAsia="国标黑体" w:hAnsi="国标黑体" w:cs="国标黑体"/>
                <w:color w:val="000000" w:themeColor="text1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评审项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BFBFBF" w:themeFill="background1" w:themeFillShade="BF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黑体" w:eastAsia="国标黑体" w:hAnsi="国标黑体" w:cs="国标黑体"/>
                <w:color w:val="000000" w:themeColor="text1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评审内容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BFBFBF" w:themeFill="background1" w:themeFillShade="BF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黑体" w:eastAsia="国标黑体" w:hAnsi="国标黑体" w:cs="国标黑体"/>
                <w:color w:val="000000" w:themeColor="text1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分值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BFBFBF" w:themeFill="background1" w:themeFillShade="BF"/>
            <w:noWrap/>
            <w:vAlign w:val="center"/>
          </w:tcPr>
          <w:p w:rsidR="00FE6080" w:rsidRDefault="00CD7B62" w:rsidP="00FE6080">
            <w:pPr>
              <w:widowControl/>
              <w:ind w:firstLineChars="2100" w:firstLine="4630"/>
              <w:textAlignment w:val="center"/>
              <w:rPr>
                <w:rFonts w:ascii="国标黑体" w:eastAsia="国标黑体" w:hAnsi="国标黑体" w:cs="国标黑体"/>
                <w:color w:val="000000" w:themeColor="text1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评审标准</w:t>
            </w:r>
          </w:p>
        </w:tc>
      </w:tr>
      <w:tr w:rsidR="00FE6080">
        <w:trPr>
          <w:trHeight w:val="1765"/>
        </w:trPr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 w:themeColor="text1"/>
                <w:kern w:val="0"/>
                <w:szCs w:val="21"/>
              </w:rPr>
              <w:t>运营能力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运营方案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申报单位针对本项目内容提供公共数据授权运营方案，方案应包括需求分析、运营内容规划、运营模式与收益机制等内容。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方案详细全面，工作思路合理，工作步骤科学、可行性高，满足或优于运营需求的，得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8-10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方案较全面，工作思路基本合理，工作步骤较科学、可行性较高，基本满足运营需求，得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5-7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方案一般，工作思路的合理程度较低，工作步骤可行性较低，满足运营需求程度较低，得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1-4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2114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需求分析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申报单位针对本项目内容提供公共数据授权运营方案，方案应针对本地公共数据资源授权运营进行需求分析，包括必要性分析、现状分析、需求分析、痛点及解决思路等。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需求分析内容详实、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研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判精准，贴合本地业务特征与项目落地实际。的得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5-6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需求分析内容较为完整、结论基本准确，大体契合本地特点与现实条件的得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3-4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需求分析内容简略、精准度不足，与本地实际及业务现状不符的得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1-2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1635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场景规划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申报单位针对本项目内容提供公共数据授权运营方案，方案应结合行业现状及本地特色，规划重点落地场景，要求场景明确服务对象、业务需求、内容详实、落地路径清晰，具有较强的可行性。</w:t>
            </w:r>
          </w:p>
          <w:p w:rsidR="00FE6080" w:rsidRDefault="00CD7B62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 xml:space="preserve">    1.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每规划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一个规范完整、要素齐全的重点落地场景得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1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分，最多得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8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分；</w:t>
            </w:r>
          </w:p>
          <w:p w:rsidR="00FE6080" w:rsidRDefault="00CD7B62">
            <w:pPr>
              <w:widowControl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不提供或仅简单罗列、内容空泛、要素缺失、无可行性的场景不得分。</w:t>
            </w:r>
          </w:p>
        </w:tc>
      </w:tr>
      <w:tr w:rsidR="00FE6080">
        <w:trPr>
          <w:trHeight w:val="1503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产品规划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申报单位针对本项目内容提供公共数据授权运营方案，方案应结合行业现状及本地特色，规划数据产品，数据产品要有详细的场景描述、明确的数据需求、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所需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数据基础设施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支撑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能力等。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数据产品具备创新性、普适性和市场价值，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每规划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一个数据产品得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0.5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分，最多得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不提供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或内容简略、要素缺失的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不得分。</w:t>
            </w:r>
          </w:p>
        </w:tc>
      </w:tr>
      <w:tr w:rsidR="00FE6080">
        <w:trPr>
          <w:trHeight w:val="90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团队人员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FE6080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</w:p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申报单位需根据运营业务实际开展需求，合理配置团队人员，要求团队成员至少具备项目管理、运营管理、数据安全、数据开发、数据治理等中的一项技能及工作经验，要求团队基本配置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人，每增加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人得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0.5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分，本项最高得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分。</w:t>
            </w:r>
          </w:p>
          <w:p w:rsidR="00FE6080" w:rsidRDefault="00FE6080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</w:p>
        </w:tc>
      </w:tr>
      <w:tr w:rsidR="00FE6080">
        <w:trPr>
          <w:trHeight w:val="549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BFBFBF" w:themeFill="background1" w:themeFillShade="BF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黑体" w:eastAsia="国标黑体" w:hAnsi="国标黑体" w:cs="国标黑体"/>
                <w:color w:val="000000" w:themeColor="text1"/>
                <w:kern w:val="0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评审项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BFBFBF" w:themeFill="background1" w:themeFillShade="BF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黑体" w:eastAsia="国标黑体" w:hAnsi="国标黑体" w:cs="国标黑体"/>
                <w:color w:val="000000" w:themeColor="text1"/>
                <w:kern w:val="0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评审内容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BFBFBF" w:themeFill="background1" w:themeFillShade="BF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黑体" w:eastAsia="国标黑体" w:hAnsi="国标黑体" w:cs="国标黑体"/>
                <w:color w:val="000000" w:themeColor="text1"/>
                <w:kern w:val="0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分值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黑体" w:eastAsia="国标黑体" w:hAnsi="国标黑体" w:cs="国标黑体"/>
                <w:color w:val="000000" w:themeColor="text1"/>
                <w:kern w:val="0"/>
                <w:szCs w:val="21"/>
              </w:rPr>
            </w:pPr>
            <w:r>
              <w:rPr>
                <w:rFonts w:ascii="国标黑体" w:eastAsia="国标黑体" w:hAnsi="国标黑体" w:cs="国标黑体" w:hint="eastAsia"/>
                <w:color w:val="000000" w:themeColor="text1"/>
                <w:kern w:val="0"/>
                <w:szCs w:val="21"/>
              </w:rPr>
              <w:t>评审标准</w:t>
            </w:r>
          </w:p>
        </w:tc>
      </w:tr>
      <w:tr w:rsidR="00FE6080">
        <w:trPr>
          <w:trHeight w:val="1909"/>
        </w:trPr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 w:themeColor="text1"/>
                <w:kern w:val="0"/>
                <w:szCs w:val="21"/>
              </w:rPr>
              <w:lastRenderedPageBreak/>
              <w:t>技术能力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架构设计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申报单位针对本项目内容提供公共数据授权运营平台建设方案，方案应针对运营平台的技术架构、网络架构进行设计，并分层对技术架构进行详细设计。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 xml:space="preserve">    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技术架构、网络架构设计科学合理、技术架构分层清晰、层级齐全，各层功能设计详细、落地性强的得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技术架构、网络架构设计较科学合理、技术架构分层基本齐全，各层级功能设计较为详细、落地性较强的得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3-4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技术架构、网络架构设计简单笼统、技术架构分层不清晰、内容单薄，层级功能设计不完善的得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1-2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2848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功能设计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申报单位针对本项目内容提供公共数据授权运营平台建设方案，方案应针对运营平台的核心功能进行设计，包括但不限于数据接入管理、数据授权管理、数据加工管理、数据产品管理等。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核心功能体系完整、业务流程清晰、功能细节详实、贴合项目实际业务场景，具备较强的落地性、实用性和扩展性的得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6-8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具备平台核心功能设计、各模块功能、流程描述基本完整、基本贴合项目实际业务场景，具备基本的落地性、实用性和扩展性的得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3-5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核心功能设计内容简略，关键模块覆盖不全，功能描述笼统、缺乏细节，业务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逻辑不够清晰，不具备落地性、实用性和扩展性的得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1-2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1877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接口设计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申报单位针对本项目内容提供公共数据授权运营平台建设方案，方案应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支持适配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可信数据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流通基础设施通用接口规范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接口设计满足业务需求，接口标准、通信协议、安全校验等设计详实完整，具有较强可落地性的得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4-5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接口设计基本满足业务需求，接口标准、通信协议、安全校验等设计较详实完整，具有基本可落地性的得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2-3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 xml:space="preserve">   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接口设计内容简略、表述笼统，未明确接口标准、通信协议、安全校验等设计，可落地性较差的得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1250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szCs w:val="21"/>
              </w:rPr>
              <w:t>基础环境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>
            <w:pPr>
              <w:widowControl/>
              <w:ind w:firstLineChars="200" w:firstLine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已经建成公共数据授权运营平台且平台功能完整度、成熟度较高，能够支撑公共数据资源授权运营活动。提供满足要求的系统演示（系统、原型、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PPT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等形式）的得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分；未建成但承诺能在签订授权运营协议后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个工作日内按照有关要求完成部署的得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分；其他不得分。</w:t>
            </w:r>
            <w:bookmarkStart w:id="0" w:name="_GoBack"/>
            <w:bookmarkEnd w:id="0"/>
          </w:p>
        </w:tc>
      </w:tr>
      <w:tr w:rsidR="00FE6080">
        <w:trPr>
          <w:trHeight w:val="90"/>
        </w:trPr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 w:themeColor="text1"/>
                <w:kern w:val="0"/>
                <w:szCs w:val="21"/>
              </w:rPr>
              <w:t>安全能力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安全管理</w:t>
            </w:r>
          </w:p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制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申报单位针对本项目内容提供数据安全方案，方案应针对数据安全管理制度进行描述。</w:t>
            </w:r>
          </w:p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有明确的数据安全负责人和管理部门，建立了全面的内部管理和安全保障制度，可确保数据处理的合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规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性和安全性的得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4-5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</w:p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有明确的数据安全负责人和管理部门，内部管理和安全保障制度基本建立，能一定程度上确保数据处理的合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规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性和安全性的得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2-3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</w:p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有明确的数据安全负责人和管理部门，内部管理和安全保障制度简单的得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>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90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数据安全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申报单位针对本项目内容提供数据安全方案，方案应包括风险评估、总体安全架构、全生命周期防护措施、安全制度与安全审计等部分。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lastRenderedPageBreak/>
              <w:t xml:space="preserve">    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方案详细全面，工作思路合理，工作步骤科学、可行性高，满足或优于运营安全需求的得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6-8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方案较全面，工作思路基本合理，工作步骤较科学、可行性较高，基本满足运营安全需求的得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3-5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方案一般，工作思路的合理程度较低，工作步骤可行性较低，满足运营安全需求程度较低的得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1-2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90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系统安全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申报单位针对本项目内容提供数据安全方案，方案应针对平台系统安全防护进行描述，包括网络安全、主机安全、应用系统安全、账号权限与身份安全。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各项防护内容完整，满足公共数据安全及公共数据授权运营管理要求，防护机制详实、逻辑清晰、落地性强，可全方位保障平台安全稳定运行的得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4-5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各项防护内容基本完整、逻辑合理，基本公共数据安全及公共数据授权运营管理要求，部分防护措施细节不够细化、针对性一般，可基本保障平台安全稳定运行的得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2-3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仅简单阐述安全防护思路，各维度安全防护内容简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略笼统，防护措施不具体、针对性不足，难以有效支撑平台安全防护需求的得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 xml:space="preserve">    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90"/>
        </w:trPr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 w:themeColor="text1"/>
                <w:kern w:val="0"/>
                <w:szCs w:val="21"/>
              </w:rPr>
              <w:t>保障能力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应急保障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申报单位针对本项目内容提供应急保障方案，方案应包括风险分级、预警监测、处置流程、应急演练等部分。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>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方案详细全面，工作思路合理，工作步骤科学、可行性高，满足或优于运营应急保障需求的，得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6-8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>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方案较全面，工作思路基本合理，工作步骤较科学、可行性较高，基本满足运营应急保障需求，得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3-5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lastRenderedPageBreak/>
              <w:t>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方案一般，工作思路的合理程度较低，工作步骤可行性较低，满足运营应急保障需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求程度较低，得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1-2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br/>
              <w:t>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90"/>
        </w:trPr>
        <w:tc>
          <w:tcPr>
            <w:tcW w:w="42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FE6080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运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维保障</w:t>
            </w:r>
            <w:proofErr w:type="gramEnd"/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申报单位针对本项目内容提供运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维保障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方案，方案应包括组织架构、工作内容、响应机制等部分。</w:t>
            </w:r>
          </w:p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方案详细全面，工作思路合理，工作步骤科学、可行性高，满足或优于运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维需求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的，得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6-7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</w:p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方案较全面，工作思路基本合理，工作步骤较科学、可行性较高，基本满足运维需求，得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3-5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</w:p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方案一般，工作思路的合理程度较低，工作步骤可行性较低，满足运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维需求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程度较低，得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1-2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分；</w:t>
            </w:r>
          </w:p>
          <w:p w:rsidR="00FE6080" w:rsidRDefault="00CD7B62">
            <w:pPr>
              <w:widowControl/>
              <w:ind w:leftChars="200" w:left="420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4.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其他或未提供不得分。</w:t>
            </w:r>
          </w:p>
        </w:tc>
      </w:tr>
      <w:tr w:rsidR="00FE6080">
        <w:trPr>
          <w:trHeight w:val="915"/>
        </w:trPr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jc w:val="center"/>
              <w:rPr>
                <w:rFonts w:ascii="国标宋体" w:eastAsia="国标宋体" w:hAnsi="国标宋体" w:cs="国标宋体"/>
                <w:color w:val="000000" w:themeColor="text1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b/>
                <w:bCs/>
                <w:color w:val="000000" w:themeColor="text1"/>
                <w:szCs w:val="21"/>
              </w:rPr>
              <w:t>加分项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相关荣誉</w:t>
            </w:r>
          </w:p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或典型案例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FE6080" w:rsidRDefault="00CD7B62">
            <w:pPr>
              <w:widowControl/>
              <w:jc w:val="center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38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E6080" w:rsidRDefault="00CD7B62" w:rsidP="00FE6080">
            <w:pPr>
              <w:widowControl/>
              <w:ind w:firstLineChars="200" w:firstLine="441"/>
              <w:jc w:val="left"/>
              <w:textAlignment w:val="center"/>
              <w:rPr>
                <w:rFonts w:ascii="国标宋体" w:eastAsia="国标宋体" w:hAnsi="国标宋体" w:cs="国标宋体"/>
                <w:color w:val="000000" w:themeColor="text1"/>
                <w:kern w:val="0"/>
                <w:szCs w:val="21"/>
              </w:rPr>
            </w:pP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申报单位在数据相关领域（数据要素、数据流通、数据基础设施、可信数据空间等）入选试点、案例集、获得赛事奖项的，每提供一项省级及以上的加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分，市级的加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分，最高加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分。（组织方需为国家行政机关、权威行业协会，需提供加盖公章的获奖证书或组织</w:t>
            </w:r>
            <w:proofErr w:type="gramStart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方官网截</w:t>
            </w:r>
            <w:proofErr w:type="gramEnd"/>
            <w:r>
              <w:rPr>
                <w:rFonts w:ascii="国标宋体" w:eastAsia="国标宋体" w:hAnsi="国标宋体" w:cs="国标宋体" w:hint="eastAsia"/>
                <w:color w:val="000000" w:themeColor="text1"/>
                <w:kern w:val="0"/>
                <w:szCs w:val="21"/>
              </w:rPr>
              <w:t>图等相关证明文件）</w:t>
            </w:r>
          </w:p>
        </w:tc>
      </w:tr>
    </w:tbl>
    <w:p w:rsidR="00FE6080" w:rsidRDefault="00FE6080">
      <w:pPr>
        <w:rPr>
          <w:rFonts w:ascii="国标宋体" w:eastAsia="国标宋体" w:hAnsi="国标宋体" w:cs="国标宋体"/>
          <w:szCs w:val="21"/>
        </w:rPr>
      </w:pPr>
    </w:p>
    <w:sectPr w:rsidR="00FE6080" w:rsidSect="00FE6080">
      <w:footerReference w:type="default" r:id="rId7"/>
      <w:pgSz w:w="16838" w:h="11906" w:orient="landscape"/>
      <w:pgMar w:top="624" w:right="1440" w:bottom="56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80" w:rsidRDefault="00FE6080" w:rsidP="00FE6080">
      <w:r>
        <w:separator/>
      </w:r>
    </w:p>
  </w:endnote>
  <w:endnote w:type="continuationSeparator" w:id="0">
    <w:p w:rsidR="00FE6080" w:rsidRDefault="00FE6080" w:rsidP="00FE6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国标宋体">
    <w:altName w:val="Malgun Gothic Semilight"/>
    <w:charset w:val="86"/>
    <w:family w:val="auto"/>
    <w:pitch w:val="default"/>
    <w:sig w:usb0="00000000" w:usb1="2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80" w:rsidRDefault="00FE608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E6080" w:rsidRDefault="00FE6080">
                <w:pPr>
                  <w:pStyle w:val="a3"/>
                </w:pPr>
                <w:r>
                  <w:fldChar w:fldCharType="begin"/>
                </w:r>
                <w:r w:rsidR="00CD7B62">
                  <w:instrText xml:space="preserve"> PAGE  \* MERGEFORMAT </w:instrText>
                </w:r>
                <w:r>
                  <w:fldChar w:fldCharType="separate"/>
                </w:r>
                <w:r w:rsidR="00CD7B62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80" w:rsidRDefault="00FE6080" w:rsidP="00FE6080">
      <w:r>
        <w:separator/>
      </w:r>
    </w:p>
  </w:footnote>
  <w:footnote w:type="continuationSeparator" w:id="0">
    <w:p w:rsidR="00FE6080" w:rsidRDefault="00FE6080" w:rsidP="00FE6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DEAF16C0"/>
    <w:rsid w:val="DEAF16C0"/>
    <w:rsid w:val="EBBE4FB5"/>
    <w:rsid w:val="EEBDA5B4"/>
    <w:rsid w:val="FBD74698"/>
    <w:rsid w:val="FE7F16B0"/>
    <w:rsid w:val="FEED62E2"/>
    <w:rsid w:val="FF713225"/>
    <w:rsid w:val="000B7B56"/>
    <w:rsid w:val="003037B7"/>
    <w:rsid w:val="003E1B07"/>
    <w:rsid w:val="004D59FF"/>
    <w:rsid w:val="005272B6"/>
    <w:rsid w:val="00812B62"/>
    <w:rsid w:val="00CD7B62"/>
    <w:rsid w:val="00D51B22"/>
    <w:rsid w:val="00E56115"/>
    <w:rsid w:val="00EC4B13"/>
    <w:rsid w:val="00FE6080"/>
    <w:rsid w:val="031E9B17"/>
    <w:rsid w:val="2BEFB3B8"/>
    <w:rsid w:val="35FFE140"/>
    <w:rsid w:val="3EE874CD"/>
    <w:rsid w:val="3F23CE06"/>
    <w:rsid w:val="66ED79E7"/>
    <w:rsid w:val="67675618"/>
    <w:rsid w:val="67BE3621"/>
    <w:rsid w:val="6BAB224D"/>
    <w:rsid w:val="6CFE4FC8"/>
    <w:rsid w:val="6DADCF2E"/>
    <w:rsid w:val="6DFCC074"/>
    <w:rsid w:val="6EEF1D1D"/>
    <w:rsid w:val="6FFC895C"/>
    <w:rsid w:val="6FFF5D34"/>
    <w:rsid w:val="75BC7600"/>
    <w:rsid w:val="76E46241"/>
    <w:rsid w:val="7DE7FD9F"/>
    <w:rsid w:val="7F57EEDB"/>
    <w:rsid w:val="9BFEED67"/>
    <w:rsid w:val="ABE7291E"/>
    <w:rsid w:val="B9B5464A"/>
    <w:rsid w:val="CEFD1930"/>
    <w:rsid w:val="D6F7F9F1"/>
    <w:rsid w:val="DDB13FC5"/>
    <w:rsid w:val="DDBC5E5B"/>
    <w:rsid w:val="DEAF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0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60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E60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2944</Words>
  <Characters>371</Characters>
  <Application>Microsoft Office Word</Application>
  <DocSecurity>0</DocSecurity>
  <Lines>3</Lines>
  <Paragraphs>6</Paragraphs>
  <ScaleCrop>false</ScaleCrop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asus</cp:lastModifiedBy>
  <cp:revision>8</cp:revision>
  <dcterms:created xsi:type="dcterms:W3CDTF">2026-06-05T17:40:00Z</dcterms:created>
  <dcterms:modified xsi:type="dcterms:W3CDTF">2026-07-06T04:26:00Z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1A3FAB5D2002CE049B341E6AF8FA64F5_41</vt:lpwstr>
  </property>
</Properties>
</file>